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>云峰质控</w:t>
      </w:r>
      <w:r>
        <w:rPr>
          <w:rStyle w:val="9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firstLine="800" w:firstLineChars="4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2024年4月17日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9"/>
                <w:rFonts w:cs="Times New Roman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信息科</w:t>
            </w:r>
            <w:r>
              <w:rPr>
                <w:rFonts w:ascii="微软雅黑" w:hAnsi="微软雅黑" w:eastAsia="微软雅黑"/>
                <w:b/>
                <w:bCs/>
              </w:rPr>
              <w:t>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质控 术中体温监测例数，取值为全麻下体温监测的例数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手术麻醉间低体温发生例数 取值低于35度的例数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Pacu取值在麻醉后复苏室记录单上的数据小于35度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术中主动保温例数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 w:rightChars="0"/>
              <w:jc w:val="left"/>
              <w:rPr>
                <w:rFonts w:hint="default" w:ascii="微软雅黑" w:hAnsi="微软雅黑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CORN术中获得性压力性损伤风险评估量表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606"/>
        <w:gridCol w:w="1715"/>
        <w:gridCol w:w="171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80" w:type="dxa"/>
            <w:gridSpan w:val="5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术前压力性损伤危险因素评估(在口内打√，总分: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项目及评估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1分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 分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麻醉分级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I级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口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Ⅱ级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  口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Ⅲ级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   口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>＞IV级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体重指数 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18.5~23.9  口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24.0~27.9 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>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≥28        口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＜18 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受压部位皮肤</w:t>
            </w:r>
          </w:p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状态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完好       口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红斑、潮湿  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瘀斑、水疱   口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重度水肿  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术前肢体活动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不受限     口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轻度受限    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部分受限    口 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完全受限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预计手术时间(h) 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＜3        口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≥3且＜3.5  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≥3.5且＜4  口   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≥4   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高危疾病:糖尿病    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有    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80" w:type="dxa"/>
            <w:gridSpan w:val="5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术前评估</w:t>
            </w:r>
            <w:r>
              <w:rPr>
                <w:rFonts w:hint="eastAsia" w:asciiTheme="minorEastAsia" w:hAnsiTheme="minorEastAsia" w:cstheme="minorEastAsia"/>
                <w:szCs w:val="21"/>
              </w:rPr>
              <w:t>＞</w:t>
            </w:r>
            <w:r>
              <w:rPr>
                <w:rFonts w:hint="eastAsia" w:asciiTheme="minorEastAsia" w:hAnsiTheme="minorEastAsia" w:cstheme="minorEastAsia"/>
                <w:sz w:val="24"/>
              </w:rPr>
              <w:t>14分为高风险患者；9~14分为中风险患者；</w:t>
            </w:r>
            <w:r>
              <w:rPr>
                <w:rFonts w:hint="eastAsia" w:asciiTheme="minorEastAsia" w:hAnsiTheme="minorEastAsia" w:cstheme="minorEastAsia"/>
                <w:szCs w:val="21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</w:rPr>
              <w:t>9分为低风险患者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0" w:type="dxa"/>
            <w:gridSpan w:val="5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术中压力性损伤危险因素动态评估(在口内打√， 总分: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项目及评估     </w:t>
            </w:r>
          </w:p>
        </w:tc>
        <w:tc>
          <w:tcPr>
            <w:tcW w:w="1606" w:type="dxa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 分</w:t>
            </w:r>
          </w:p>
        </w:tc>
        <w:tc>
          <w:tcPr>
            <w:tcW w:w="1715" w:type="dxa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 分</w:t>
            </w:r>
          </w:p>
        </w:tc>
        <w:tc>
          <w:tcPr>
            <w:tcW w:w="1716" w:type="dxa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 分</w:t>
            </w:r>
          </w:p>
        </w:tc>
        <w:tc>
          <w:tcPr>
            <w:tcW w:w="1719" w:type="dxa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体温丢失因素        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浅部组织冷稀释口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深部组织冷稀释口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体腔/器官冷稀释  口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低体温/降温治疗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4" w:type="dxa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手术出血量(ml)     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＜200     口 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≥200且&lt;400 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400~ 800    口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＞800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术中压力剪切力改变     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轻度增加   口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中度增加    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重度增加    口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极重度增加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4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实际手术时间(h)</w:t>
            </w:r>
          </w:p>
        </w:tc>
        <w:tc>
          <w:tcPr>
            <w:tcW w:w="160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＜3        口</w:t>
            </w:r>
          </w:p>
        </w:tc>
        <w:tc>
          <w:tcPr>
            <w:tcW w:w="1715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≥3且＜3.5  口</w:t>
            </w:r>
          </w:p>
        </w:tc>
        <w:tc>
          <w:tcPr>
            <w:tcW w:w="1716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≥3.5且＜4  口</w:t>
            </w:r>
          </w:p>
        </w:tc>
        <w:tc>
          <w:tcPr>
            <w:tcW w:w="1719" w:type="dxa"/>
          </w:tcPr>
          <w:p>
            <w:pPr>
              <w:widowContro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≥4   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80" w:type="dxa"/>
            <w:gridSpan w:val="5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术中评估</w:t>
            </w:r>
            <w:r>
              <w:rPr>
                <w:rFonts w:hint="eastAsia" w:asciiTheme="minorEastAsia" w:hAnsiTheme="minorEastAsia" w:cstheme="minorEastAsia"/>
                <w:szCs w:val="21"/>
              </w:rPr>
              <w:t>＞</w:t>
            </w:r>
            <w:r>
              <w:rPr>
                <w:rFonts w:hint="eastAsia" w:asciiTheme="minorEastAsia" w:hAnsiTheme="minorEastAsia" w:cstheme="minorEastAsia"/>
                <w:sz w:val="24"/>
              </w:rPr>
              <w:t>12分为高风险患者；8~12分为中风险患者；</w:t>
            </w:r>
            <w:r>
              <w:rPr>
                <w:rFonts w:hint="eastAsia" w:asciiTheme="minorEastAsia" w:hAnsiTheme="minorEastAsia" w:cstheme="minorEastAsia"/>
                <w:szCs w:val="21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</w:rPr>
              <w:t>8分为低风险患者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80" w:type="dxa"/>
            <w:gridSpan w:val="5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术后受压部位皮肤评估(在口内打√)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80" w:type="dxa"/>
            <w:gridSpan w:val="5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正常口   带入性压力性损伤口  部位: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面积: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cm ×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cm</w:t>
            </w:r>
          </w:p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术中压力性损伤口: 压红口 1期口 2期口 3期口 4期口  深部组织损伤口  不可分期口</w:t>
            </w:r>
          </w:p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器械性压力性损伤 口   粘膜压力性损伤 口</w:t>
            </w:r>
          </w:p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部位: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面积: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cm ×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cm     皮肤受压时间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80" w:type="dxa"/>
            <w:gridSpan w:val="5"/>
          </w:tcPr>
          <w:p>
            <w:pPr>
              <w:widowControl w:val="0"/>
              <w:spacing w:line="360" w:lineRule="auto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备注: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                                                      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u w:val="single"/>
      </w:rPr>
    </w:pPr>
    <w:r>
      <w:rPr>
        <w:rStyle w:val="9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</w:rPr>
    </w:pPr>
    <w:r>
      <w:rPr>
        <w:rStyle w:val="9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21C62E4"/>
    <w:rsid w:val="042B3E28"/>
    <w:rsid w:val="06EC7E50"/>
    <w:rsid w:val="09B3210C"/>
    <w:rsid w:val="0AEC338E"/>
    <w:rsid w:val="0C9C6600"/>
    <w:rsid w:val="0CF31068"/>
    <w:rsid w:val="0DCD726B"/>
    <w:rsid w:val="0ED178AC"/>
    <w:rsid w:val="10074985"/>
    <w:rsid w:val="12531AE4"/>
    <w:rsid w:val="13381AF6"/>
    <w:rsid w:val="13C70769"/>
    <w:rsid w:val="16B25156"/>
    <w:rsid w:val="193B776B"/>
    <w:rsid w:val="1AA11864"/>
    <w:rsid w:val="1BF55FC2"/>
    <w:rsid w:val="1C7B1D34"/>
    <w:rsid w:val="1DA358F3"/>
    <w:rsid w:val="1F3966E1"/>
    <w:rsid w:val="1FAE38D2"/>
    <w:rsid w:val="203A1732"/>
    <w:rsid w:val="20C96BD2"/>
    <w:rsid w:val="216C3F77"/>
    <w:rsid w:val="21FB6B25"/>
    <w:rsid w:val="22824908"/>
    <w:rsid w:val="238C2586"/>
    <w:rsid w:val="23A52DC4"/>
    <w:rsid w:val="242E2DC2"/>
    <w:rsid w:val="259119B5"/>
    <w:rsid w:val="26084890"/>
    <w:rsid w:val="26D92F20"/>
    <w:rsid w:val="27934C2A"/>
    <w:rsid w:val="2AD5553A"/>
    <w:rsid w:val="2B1207D0"/>
    <w:rsid w:val="2D076C5E"/>
    <w:rsid w:val="2D7271E7"/>
    <w:rsid w:val="2DDC1577"/>
    <w:rsid w:val="2EDB61B5"/>
    <w:rsid w:val="2EDC007A"/>
    <w:rsid w:val="2F96238D"/>
    <w:rsid w:val="2FE362F1"/>
    <w:rsid w:val="31374B2D"/>
    <w:rsid w:val="32E45BE2"/>
    <w:rsid w:val="334131D9"/>
    <w:rsid w:val="33DF233A"/>
    <w:rsid w:val="34B357DC"/>
    <w:rsid w:val="399D0846"/>
    <w:rsid w:val="3B742225"/>
    <w:rsid w:val="3BAC7F61"/>
    <w:rsid w:val="3BBE2F36"/>
    <w:rsid w:val="3BE6634F"/>
    <w:rsid w:val="3CF6044A"/>
    <w:rsid w:val="3DA54918"/>
    <w:rsid w:val="3ECB7129"/>
    <w:rsid w:val="3F23683F"/>
    <w:rsid w:val="3F562B7B"/>
    <w:rsid w:val="426B4915"/>
    <w:rsid w:val="42A32BF0"/>
    <w:rsid w:val="4303265A"/>
    <w:rsid w:val="44E24DB2"/>
    <w:rsid w:val="47CE55FD"/>
    <w:rsid w:val="47F165C0"/>
    <w:rsid w:val="4BFF3135"/>
    <w:rsid w:val="4CBE1552"/>
    <w:rsid w:val="4EAD364F"/>
    <w:rsid w:val="4FE52909"/>
    <w:rsid w:val="51707B49"/>
    <w:rsid w:val="52273767"/>
    <w:rsid w:val="52617AC7"/>
    <w:rsid w:val="52F13539"/>
    <w:rsid w:val="53A44F87"/>
    <w:rsid w:val="53C02D4F"/>
    <w:rsid w:val="55C44F29"/>
    <w:rsid w:val="56F9630B"/>
    <w:rsid w:val="59231930"/>
    <w:rsid w:val="5935604A"/>
    <w:rsid w:val="59A71CFB"/>
    <w:rsid w:val="5ABE0DE6"/>
    <w:rsid w:val="5B0E22CB"/>
    <w:rsid w:val="5B751328"/>
    <w:rsid w:val="5C542D77"/>
    <w:rsid w:val="5EA913D7"/>
    <w:rsid w:val="5EFC1783"/>
    <w:rsid w:val="60A6654F"/>
    <w:rsid w:val="6227244A"/>
    <w:rsid w:val="62AF25C3"/>
    <w:rsid w:val="62C80273"/>
    <w:rsid w:val="68A33FC6"/>
    <w:rsid w:val="6B3A400E"/>
    <w:rsid w:val="6C254F4F"/>
    <w:rsid w:val="6CEE0118"/>
    <w:rsid w:val="6D5E599A"/>
    <w:rsid w:val="6F607C48"/>
    <w:rsid w:val="6FA778F7"/>
    <w:rsid w:val="72332E03"/>
    <w:rsid w:val="727B3F82"/>
    <w:rsid w:val="73D509E3"/>
    <w:rsid w:val="754D1572"/>
    <w:rsid w:val="758A7538"/>
    <w:rsid w:val="758C3DF8"/>
    <w:rsid w:val="76215392"/>
    <w:rsid w:val="7A073D9D"/>
    <w:rsid w:val="7BA67BFD"/>
    <w:rsid w:val="7CDD7B32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9">
    <w:name w:val="NormalCharacter"/>
    <w:autoRedefine/>
    <w:semiHidden/>
    <w:qFormat/>
    <w:uiPriority w:val="0"/>
  </w:style>
  <w:style w:type="table" w:customStyle="1" w:styleId="10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autoRedefine/>
    <w:qFormat/>
    <w:uiPriority w:val="0"/>
  </w:style>
  <w:style w:type="character" w:customStyle="1" w:styleId="12">
    <w:name w:val="UserStyle_0"/>
    <w:link w:val="13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NavPane"/>
    <w:basedOn w:val="1"/>
    <w:link w:val="12"/>
    <w:autoRedefine/>
    <w:qFormat/>
    <w:uiPriority w:val="0"/>
    <w:rPr>
      <w:rFonts w:ascii="宋体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3</TotalTime>
  <ScaleCrop>false</ScaleCrop>
  <LinksUpToDate>false</LinksUpToDate>
  <CharactersWithSpaces>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就喝奶茶</cp:lastModifiedBy>
  <dcterms:modified xsi:type="dcterms:W3CDTF">2024-04-17T01:07:36Z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C6753F0D0C8143199CB93F3CFB6FD64D_13</vt:lpwstr>
  </property>
</Properties>
</file>