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9"/>
          <w:rFonts w:ascii="黑体" w:eastAsia="黑体" w:cs="Times New Roman"/>
          <w:b/>
          <w:bCs/>
          <w:sz w:val="32"/>
        </w:rPr>
      </w:pPr>
      <w:r>
        <w:rPr>
          <w:rStyle w:val="9"/>
          <w:rFonts w:hint="eastAsia" w:ascii="黑体" w:eastAsia="黑体" w:cs="Times New Roman"/>
          <w:b/>
          <w:bCs/>
          <w:sz w:val="32"/>
          <w:lang w:val="en-US" w:eastAsia="zh-CN"/>
        </w:rPr>
        <w:t>磐安</w:t>
      </w:r>
      <w:r>
        <w:rPr>
          <w:rStyle w:val="9"/>
          <w:rFonts w:hint="eastAsia" w:ascii="黑体" w:eastAsia="黑体" w:cs="Times New Roman"/>
          <w:b/>
          <w:bCs/>
          <w:sz w:val="32"/>
        </w:rPr>
        <w:t>需求申请单</w:t>
      </w:r>
    </w:p>
    <w:tbl>
      <w:tblPr>
        <w:tblStyle w:val="5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992"/>
        <w:gridCol w:w="285"/>
        <w:gridCol w:w="2835"/>
        <w:gridCol w:w="1985"/>
        <w:gridCol w:w="426"/>
        <w:gridCol w:w="25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9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jc w:val="center"/>
              <w:rPr>
                <w:rStyle w:val="9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9"/>
                <w:rFonts w:hint="eastAsia" w:cs="Times New Roman"/>
                <w:sz w:val="20"/>
                <w:szCs w:val="20"/>
                <w:lang w:val="en-US" w:eastAsia="zh-CN"/>
              </w:rPr>
              <w:t>手麻系统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jc w:val="center"/>
              <w:rPr>
                <w:rStyle w:val="9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9"/>
                <w:rFonts w:hint="eastAsia" w:cs="Times New Roman"/>
                <w:sz w:val="20"/>
                <w:szCs w:val="20"/>
                <w:lang w:val="en-US" w:eastAsia="zh-CN"/>
              </w:rPr>
              <w:t>麻醉科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9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firstLine="800" w:firstLineChars="400"/>
              <w:rPr>
                <w:rStyle w:val="9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9"/>
                <w:rFonts w:hint="eastAsia" w:cs="Times New Roman"/>
                <w:sz w:val="20"/>
                <w:szCs w:val="20"/>
                <w:lang w:val="en-US" w:eastAsia="zh-CN"/>
              </w:rPr>
              <w:t>2024年3月20日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9"/>
                <w:rFonts w:cs="Times New Roman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lang w:val="en-US" w:eastAsia="zh-CN"/>
              </w:rPr>
              <w:t>信息科</w:t>
            </w:r>
            <w:r>
              <w:rPr>
                <w:rFonts w:ascii="微软雅黑" w:hAnsi="微软雅黑" w:eastAsia="微软雅黑"/>
                <w:b/>
                <w:bCs/>
              </w:rPr>
              <w:t>签字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rPr>
                <w:rStyle w:val="9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80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037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微软雅黑" w:hAnsi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Times New Roman"/>
                <w:bCs/>
                <w:sz w:val="18"/>
                <w:szCs w:val="18"/>
                <w:lang w:val="en-US" w:eastAsia="zh-CN"/>
              </w:rPr>
              <w:t>麻醉单页面优化，去除下面的横线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 w:hRule="atLeast"/>
          <w:jc w:val="center"/>
        </w:trPr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803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麻醉单加入一个异常按钮，点击后此麻醉单不再限制打印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803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ind w:right="15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复合用药选择浓度时，在下方填入总剂量，即可显示为1%利多卡因+2%氯化钠 100ml这种格式类型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  <w:jc w:val="center"/>
        </w:trPr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803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ind w:right="15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手术护理单中的压力性损伤评分双击弹出评分表，评分后将最终分数呈现。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803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both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803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803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微软雅黑" w:hAnsi="微软雅黑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803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06" w:hRule="atLeast"/>
          <w:jc w:val="center"/>
        </w:trPr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803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ind w:right="150" w:rightChars="0"/>
              <w:jc w:val="left"/>
              <w:rPr>
                <w:rFonts w:hint="default" w:ascii="微软雅黑" w:hAnsi="微软雅黑" w:eastAsia="微软雅黑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03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03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03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03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03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03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03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803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03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803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  <w:jc w:val="center"/>
        </w:trPr>
        <w:tc>
          <w:tcPr>
            <w:tcW w:w="208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center" w:pos="1412"/>
              </w:tabs>
              <w:spacing w:line="0" w:lineRule="atLeast"/>
              <w:ind w:left="210" w:leftChars="100"/>
              <w:jc w:val="left"/>
              <w:rPr>
                <w:rFonts w:hint="eastAsia" w:ascii="微软雅黑" w:hAnsi="微软雅黑" w:eastAsia="微软雅黑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CORN术中获得性压力性损伤风险评估量表</w:t>
      </w:r>
    </w:p>
    <w:tbl>
      <w:tblPr>
        <w:tblStyle w:val="6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1606"/>
        <w:gridCol w:w="1715"/>
        <w:gridCol w:w="1716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80" w:type="dxa"/>
            <w:gridSpan w:val="5"/>
          </w:tcPr>
          <w:p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术前压力性损伤危险因素评估(在口内打√，总分: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4"/>
              </w:rPr>
              <w:t>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824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项目及评估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1分</w:t>
            </w:r>
          </w:p>
        </w:tc>
        <w:tc>
          <w:tcPr>
            <w:tcW w:w="1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2分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3 分</w:t>
            </w:r>
          </w:p>
        </w:tc>
        <w:tc>
          <w:tcPr>
            <w:tcW w:w="17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4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824" w:type="dxa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麻醉分级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I级  </w:t>
            </w:r>
            <w:r>
              <w:rPr>
                <w:rFonts w:hint="eastAsia" w:asciiTheme="minorEastAsia" w:hAnsiTheme="minorEastAsia" w:cstheme="minorEastAsia"/>
                <w:color w:val="171A1D"/>
                <w:kern w:val="0"/>
                <w:szCs w:val="21"/>
              </w:rPr>
              <w:t xml:space="preserve">     口</w:t>
            </w:r>
          </w:p>
        </w:tc>
        <w:tc>
          <w:tcPr>
            <w:tcW w:w="17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Ⅱ级 </w:t>
            </w:r>
            <w:r>
              <w:rPr>
                <w:rFonts w:hint="eastAsia" w:asciiTheme="minorEastAsia" w:hAnsiTheme="minorEastAsia" w:cstheme="minorEastAsia"/>
                <w:color w:val="171A1D"/>
                <w:kern w:val="0"/>
                <w:szCs w:val="21"/>
              </w:rPr>
              <w:t xml:space="preserve">       口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Ⅲ级</w:t>
            </w:r>
            <w:r>
              <w:rPr>
                <w:rFonts w:hint="eastAsia" w:asciiTheme="minorEastAsia" w:hAnsiTheme="minorEastAsia" w:cstheme="minorEastAsia"/>
                <w:color w:val="171A1D"/>
                <w:kern w:val="0"/>
                <w:szCs w:val="21"/>
              </w:rPr>
              <w:t xml:space="preserve">        口</w:t>
            </w:r>
          </w:p>
        </w:tc>
        <w:tc>
          <w:tcPr>
            <w:tcW w:w="17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171A1D"/>
                <w:kern w:val="0"/>
                <w:szCs w:val="21"/>
              </w:rPr>
              <w:t>＞IV级     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824" w:type="dxa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体重指数 </w:t>
            </w:r>
          </w:p>
        </w:tc>
        <w:tc>
          <w:tcPr>
            <w:tcW w:w="1606" w:type="dxa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18.5~23.9  口</w:t>
            </w:r>
          </w:p>
        </w:tc>
        <w:tc>
          <w:tcPr>
            <w:tcW w:w="1715" w:type="dxa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24.0~27.9   </w:t>
            </w:r>
            <w:r>
              <w:rPr>
                <w:rFonts w:hint="eastAsia" w:asciiTheme="minorEastAsia" w:hAnsiTheme="minorEastAsia" w:cstheme="minorEastAsia"/>
                <w:color w:val="171A1D"/>
                <w:kern w:val="0"/>
                <w:szCs w:val="21"/>
              </w:rPr>
              <w:t>口</w:t>
            </w:r>
          </w:p>
        </w:tc>
        <w:tc>
          <w:tcPr>
            <w:tcW w:w="1716" w:type="dxa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≥28        口</w:t>
            </w:r>
          </w:p>
        </w:tc>
        <w:tc>
          <w:tcPr>
            <w:tcW w:w="1719" w:type="dxa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＜18   </w:t>
            </w:r>
            <w:r>
              <w:rPr>
                <w:rFonts w:hint="eastAsia" w:asciiTheme="minorEastAsia" w:hAnsiTheme="minorEastAsia" w:cstheme="minorEastAsia"/>
                <w:color w:val="171A1D"/>
                <w:kern w:val="0"/>
                <w:szCs w:val="21"/>
              </w:rPr>
              <w:t xml:space="preserve">     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24" w:type="dxa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受压部位皮肤</w:t>
            </w:r>
          </w:p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状态</w:t>
            </w:r>
          </w:p>
        </w:tc>
        <w:tc>
          <w:tcPr>
            <w:tcW w:w="1606" w:type="dxa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完好       口</w:t>
            </w:r>
          </w:p>
        </w:tc>
        <w:tc>
          <w:tcPr>
            <w:tcW w:w="1715" w:type="dxa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红斑、潮湿  口</w:t>
            </w:r>
          </w:p>
        </w:tc>
        <w:tc>
          <w:tcPr>
            <w:tcW w:w="1716" w:type="dxa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瘀斑、水疱   口</w:t>
            </w:r>
          </w:p>
        </w:tc>
        <w:tc>
          <w:tcPr>
            <w:tcW w:w="1719" w:type="dxa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重度水肿    </w:t>
            </w:r>
            <w:r>
              <w:rPr>
                <w:rFonts w:hint="eastAsia" w:asciiTheme="minorEastAsia" w:hAnsiTheme="minorEastAsia" w:cstheme="minorEastAsia"/>
                <w:color w:val="171A1D"/>
                <w:kern w:val="0"/>
                <w:szCs w:val="21"/>
              </w:rPr>
              <w:t>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824" w:type="dxa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术前肢体活动</w:t>
            </w:r>
          </w:p>
        </w:tc>
        <w:tc>
          <w:tcPr>
            <w:tcW w:w="1606" w:type="dxa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不受限     口</w:t>
            </w:r>
          </w:p>
        </w:tc>
        <w:tc>
          <w:tcPr>
            <w:tcW w:w="1715" w:type="dxa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轻度受限    口</w:t>
            </w:r>
          </w:p>
        </w:tc>
        <w:tc>
          <w:tcPr>
            <w:tcW w:w="1716" w:type="dxa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部分受限    口 </w:t>
            </w:r>
          </w:p>
        </w:tc>
        <w:tc>
          <w:tcPr>
            <w:tcW w:w="1719" w:type="dxa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完全受限    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24" w:type="dxa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预计手术时间(h) </w:t>
            </w:r>
          </w:p>
        </w:tc>
        <w:tc>
          <w:tcPr>
            <w:tcW w:w="1606" w:type="dxa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＜3        口</w:t>
            </w:r>
          </w:p>
        </w:tc>
        <w:tc>
          <w:tcPr>
            <w:tcW w:w="1715" w:type="dxa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≥3且＜3.5  口</w:t>
            </w:r>
          </w:p>
        </w:tc>
        <w:tc>
          <w:tcPr>
            <w:tcW w:w="1716" w:type="dxa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≥3.5且＜4  口   </w:t>
            </w:r>
          </w:p>
        </w:tc>
        <w:tc>
          <w:tcPr>
            <w:tcW w:w="1719" w:type="dxa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≥4         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824" w:type="dxa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高危疾病:糖尿病    </w:t>
            </w:r>
          </w:p>
        </w:tc>
        <w:tc>
          <w:tcPr>
            <w:tcW w:w="1606" w:type="dxa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15" w:type="dxa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16" w:type="dxa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19" w:type="dxa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有          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580" w:type="dxa"/>
            <w:gridSpan w:val="5"/>
          </w:tcPr>
          <w:p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术前评估</w:t>
            </w:r>
            <w:r>
              <w:rPr>
                <w:rFonts w:hint="eastAsia" w:asciiTheme="minorEastAsia" w:hAnsiTheme="minorEastAsia" w:cstheme="minorEastAsia"/>
                <w:szCs w:val="21"/>
              </w:rPr>
              <w:t>＞</w:t>
            </w:r>
            <w:r>
              <w:rPr>
                <w:rFonts w:hint="eastAsia" w:asciiTheme="minorEastAsia" w:hAnsiTheme="minorEastAsia" w:cstheme="minorEastAsia"/>
                <w:sz w:val="24"/>
              </w:rPr>
              <w:t>14分为高风险患者；9~14分为中风险患者；</w:t>
            </w:r>
            <w:r>
              <w:rPr>
                <w:rFonts w:hint="eastAsia" w:asciiTheme="minorEastAsia" w:hAnsiTheme="minorEastAsia" w:cstheme="minorEastAsia"/>
                <w:szCs w:val="21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</w:rPr>
              <w:t>9分为低风险患者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580" w:type="dxa"/>
            <w:gridSpan w:val="5"/>
          </w:tcPr>
          <w:p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术中压力性损伤危险因素动态评估(在口内打√， 总分: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4"/>
              </w:rPr>
              <w:t>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824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项目及评估     </w:t>
            </w:r>
          </w:p>
        </w:tc>
        <w:tc>
          <w:tcPr>
            <w:tcW w:w="1606" w:type="dxa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 分</w:t>
            </w:r>
          </w:p>
        </w:tc>
        <w:tc>
          <w:tcPr>
            <w:tcW w:w="1715" w:type="dxa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 分</w:t>
            </w:r>
          </w:p>
        </w:tc>
        <w:tc>
          <w:tcPr>
            <w:tcW w:w="1716" w:type="dxa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 分</w:t>
            </w:r>
          </w:p>
        </w:tc>
        <w:tc>
          <w:tcPr>
            <w:tcW w:w="1719" w:type="dxa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24" w:type="dxa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体温丢失因素        </w:t>
            </w:r>
          </w:p>
        </w:tc>
        <w:tc>
          <w:tcPr>
            <w:tcW w:w="1606" w:type="dxa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浅部组织冷稀释口</w:t>
            </w:r>
          </w:p>
        </w:tc>
        <w:tc>
          <w:tcPr>
            <w:tcW w:w="1715" w:type="dxa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深部组织冷稀释口</w:t>
            </w:r>
          </w:p>
        </w:tc>
        <w:tc>
          <w:tcPr>
            <w:tcW w:w="1716" w:type="dxa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体腔/器官冷稀释  口</w:t>
            </w:r>
          </w:p>
        </w:tc>
        <w:tc>
          <w:tcPr>
            <w:tcW w:w="1719" w:type="dxa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低体温/降温治疗  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824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手术出血量(ml)     </w:t>
            </w:r>
          </w:p>
        </w:tc>
        <w:tc>
          <w:tcPr>
            <w:tcW w:w="1606" w:type="dxa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＜200     口 </w:t>
            </w:r>
          </w:p>
        </w:tc>
        <w:tc>
          <w:tcPr>
            <w:tcW w:w="1715" w:type="dxa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≥200且&lt;400 口</w:t>
            </w:r>
          </w:p>
        </w:tc>
        <w:tc>
          <w:tcPr>
            <w:tcW w:w="1716" w:type="dxa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400~ 800    口</w:t>
            </w:r>
          </w:p>
        </w:tc>
        <w:tc>
          <w:tcPr>
            <w:tcW w:w="1719" w:type="dxa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＞800      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24" w:type="dxa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术中压力剪切力改变     </w:t>
            </w:r>
          </w:p>
        </w:tc>
        <w:tc>
          <w:tcPr>
            <w:tcW w:w="1606" w:type="dxa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轻度增加   口</w:t>
            </w:r>
          </w:p>
        </w:tc>
        <w:tc>
          <w:tcPr>
            <w:tcW w:w="1715" w:type="dxa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中度增加    口</w:t>
            </w:r>
          </w:p>
        </w:tc>
        <w:tc>
          <w:tcPr>
            <w:tcW w:w="1716" w:type="dxa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重度增加    口</w:t>
            </w:r>
          </w:p>
        </w:tc>
        <w:tc>
          <w:tcPr>
            <w:tcW w:w="1719" w:type="dxa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极重度增加  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24" w:type="dxa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实际手术时间(h)</w:t>
            </w:r>
          </w:p>
        </w:tc>
        <w:tc>
          <w:tcPr>
            <w:tcW w:w="1606" w:type="dxa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＜3        口</w:t>
            </w:r>
          </w:p>
        </w:tc>
        <w:tc>
          <w:tcPr>
            <w:tcW w:w="1715" w:type="dxa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≥3且＜3.5  口</w:t>
            </w:r>
          </w:p>
        </w:tc>
        <w:tc>
          <w:tcPr>
            <w:tcW w:w="1716" w:type="dxa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≥3.5且＜4  口</w:t>
            </w:r>
          </w:p>
        </w:tc>
        <w:tc>
          <w:tcPr>
            <w:tcW w:w="1719" w:type="dxa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≥4         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580" w:type="dxa"/>
            <w:gridSpan w:val="5"/>
          </w:tcPr>
          <w:p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术中评估</w:t>
            </w:r>
            <w:r>
              <w:rPr>
                <w:rFonts w:hint="eastAsia" w:asciiTheme="minorEastAsia" w:hAnsiTheme="minorEastAsia" w:cstheme="minorEastAsia"/>
                <w:szCs w:val="21"/>
              </w:rPr>
              <w:t>＞</w:t>
            </w:r>
            <w:r>
              <w:rPr>
                <w:rFonts w:hint="eastAsia" w:asciiTheme="minorEastAsia" w:hAnsiTheme="minorEastAsia" w:cstheme="minorEastAsia"/>
                <w:sz w:val="24"/>
              </w:rPr>
              <w:t>12分为高风险患者；8~12分为中风险患者；</w:t>
            </w:r>
            <w:r>
              <w:rPr>
                <w:rFonts w:hint="eastAsia" w:asciiTheme="minorEastAsia" w:hAnsiTheme="minorEastAsia" w:cstheme="minorEastAsia"/>
                <w:szCs w:val="21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</w:rPr>
              <w:t>8分为低风险患者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580" w:type="dxa"/>
            <w:gridSpan w:val="5"/>
          </w:tcPr>
          <w:p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术后受压部位皮肤评估(在口内打√)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8580" w:type="dxa"/>
            <w:gridSpan w:val="5"/>
          </w:tcPr>
          <w:p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正常口   带入性压力性损伤口  部位: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  面积: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szCs w:val="21"/>
              </w:rPr>
              <w:t>cm ×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szCs w:val="21"/>
              </w:rPr>
              <w:t>cm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术中压力性损伤口: 压红口 1期口 2期口 3期口 4期口  深部组织损伤口  不可分期口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器械性压力性损伤 口   粘膜压力性损伤 口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部位: 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           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  面积: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szCs w:val="21"/>
              </w:rPr>
              <w:t>cm ×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cm     皮肤受压时间 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 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80" w:type="dxa"/>
            <w:gridSpan w:val="5"/>
          </w:tcPr>
          <w:p>
            <w:pPr>
              <w:spacing w:line="360" w:lineRule="auto"/>
              <w:rPr>
                <w:rFonts w:asciiTheme="minorEastAsia" w:hAnsiTheme="minorEastAsia" w:cstheme="minorEastAsia"/>
                <w:sz w:val="24"/>
                <w:u w:val="single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备注: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                                                                 </w:t>
            </w:r>
          </w:p>
        </w:tc>
      </w:tr>
    </w:tbl>
    <w:p>
      <w:pPr>
        <w:rPr>
          <w:rFonts w:asciiTheme="minorEastAsia" w:hAnsiTheme="minorEastAsia" w:cstheme="minorEastAsia"/>
        </w:rPr>
      </w:pPr>
    </w:p>
    <w:p>
      <w:pPr>
        <w:rPr>
          <w:rFonts w:asciiTheme="minorEastAsia" w:hAnsiTheme="minorEastAsia" w:cstheme="minorEastAsia"/>
        </w:rPr>
      </w:pPr>
    </w:p>
    <w:p>
      <w:pPr>
        <w:rPr>
          <w:rFonts w:asciiTheme="minorEastAsia" w:hAnsiTheme="minorEastAsia" w:cstheme="minorEastAsia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9"/>
        <w:u w:val="single"/>
      </w:rPr>
    </w:pPr>
    <w:r>
      <w:rPr>
        <w:rStyle w:val="9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9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9"/>
      </w:rPr>
    </w:pPr>
    <w:r>
      <w:rPr>
        <w:rStyle w:val="9"/>
        <w:rFonts w:hint="eastAsia"/>
      </w:rPr>
      <w:t>《需求申请单》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9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00951B02"/>
    <w:rsid w:val="00072AE0"/>
    <w:rsid w:val="000770BF"/>
    <w:rsid w:val="000817E7"/>
    <w:rsid w:val="00085BAD"/>
    <w:rsid w:val="0009300E"/>
    <w:rsid w:val="000F7EE6"/>
    <w:rsid w:val="00112B75"/>
    <w:rsid w:val="0012744C"/>
    <w:rsid w:val="00165773"/>
    <w:rsid w:val="00170F5B"/>
    <w:rsid w:val="001B12B6"/>
    <w:rsid w:val="001B411B"/>
    <w:rsid w:val="002370FF"/>
    <w:rsid w:val="002466D5"/>
    <w:rsid w:val="002706D5"/>
    <w:rsid w:val="00297FBF"/>
    <w:rsid w:val="002F2B3C"/>
    <w:rsid w:val="00320CAF"/>
    <w:rsid w:val="0034653A"/>
    <w:rsid w:val="00350454"/>
    <w:rsid w:val="003571C5"/>
    <w:rsid w:val="00385FA5"/>
    <w:rsid w:val="00397463"/>
    <w:rsid w:val="003A7783"/>
    <w:rsid w:val="003C12E4"/>
    <w:rsid w:val="00424321"/>
    <w:rsid w:val="004A5DD1"/>
    <w:rsid w:val="005461A4"/>
    <w:rsid w:val="005A590D"/>
    <w:rsid w:val="005B3B4F"/>
    <w:rsid w:val="006364F2"/>
    <w:rsid w:val="00677215"/>
    <w:rsid w:val="006A1F42"/>
    <w:rsid w:val="006B2191"/>
    <w:rsid w:val="006D3129"/>
    <w:rsid w:val="006D697A"/>
    <w:rsid w:val="00703146"/>
    <w:rsid w:val="00710F48"/>
    <w:rsid w:val="00730B98"/>
    <w:rsid w:val="007670E6"/>
    <w:rsid w:val="00784B02"/>
    <w:rsid w:val="007C436B"/>
    <w:rsid w:val="007F7F47"/>
    <w:rsid w:val="00846E14"/>
    <w:rsid w:val="0085407F"/>
    <w:rsid w:val="00860EE5"/>
    <w:rsid w:val="00866F52"/>
    <w:rsid w:val="00872C17"/>
    <w:rsid w:val="008812AE"/>
    <w:rsid w:val="008A068C"/>
    <w:rsid w:val="008B1C9B"/>
    <w:rsid w:val="008B5BD9"/>
    <w:rsid w:val="009157CF"/>
    <w:rsid w:val="00915BD4"/>
    <w:rsid w:val="00916D8F"/>
    <w:rsid w:val="00951B02"/>
    <w:rsid w:val="00952793"/>
    <w:rsid w:val="00975551"/>
    <w:rsid w:val="00976D33"/>
    <w:rsid w:val="00992B9B"/>
    <w:rsid w:val="00A03285"/>
    <w:rsid w:val="00A1492A"/>
    <w:rsid w:val="00A14B98"/>
    <w:rsid w:val="00A22812"/>
    <w:rsid w:val="00A55EA2"/>
    <w:rsid w:val="00A57140"/>
    <w:rsid w:val="00A66E92"/>
    <w:rsid w:val="00A7080B"/>
    <w:rsid w:val="00AC16FD"/>
    <w:rsid w:val="00AE5C7F"/>
    <w:rsid w:val="00AF1530"/>
    <w:rsid w:val="00AF56F2"/>
    <w:rsid w:val="00B12255"/>
    <w:rsid w:val="00B15F0E"/>
    <w:rsid w:val="00B343D7"/>
    <w:rsid w:val="00B52EA6"/>
    <w:rsid w:val="00B607AE"/>
    <w:rsid w:val="00B71AB0"/>
    <w:rsid w:val="00B82A8E"/>
    <w:rsid w:val="00BB0E1D"/>
    <w:rsid w:val="00C436AB"/>
    <w:rsid w:val="00C47C19"/>
    <w:rsid w:val="00C5444C"/>
    <w:rsid w:val="00C93736"/>
    <w:rsid w:val="00CD2F41"/>
    <w:rsid w:val="00CE5F76"/>
    <w:rsid w:val="00D1723B"/>
    <w:rsid w:val="00D37F6B"/>
    <w:rsid w:val="00D518D4"/>
    <w:rsid w:val="00D60244"/>
    <w:rsid w:val="00DD265F"/>
    <w:rsid w:val="00DE0A0E"/>
    <w:rsid w:val="00DE3366"/>
    <w:rsid w:val="00E00B99"/>
    <w:rsid w:val="00E90CF0"/>
    <w:rsid w:val="00F00B4F"/>
    <w:rsid w:val="00F07B58"/>
    <w:rsid w:val="00F46526"/>
    <w:rsid w:val="00F64BF1"/>
    <w:rsid w:val="00F71D16"/>
    <w:rsid w:val="00FE11A1"/>
    <w:rsid w:val="00FE2D11"/>
    <w:rsid w:val="00FF36A6"/>
    <w:rsid w:val="021C62E4"/>
    <w:rsid w:val="042B3E28"/>
    <w:rsid w:val="06EC7E50"/>
    <w:rsid w:val="09B3210C"/>
    <w:rsid w:val="0AEC338E"/>
    <w:rsid w:val="0C9C6600"/>
    <w:rsid w:val="0CF31068"/>
    <w:rsid w:val="0DCD726B"/>
    <w:rsid w:val="0ED178AC"/>
    <w:rsid w:val="10074985"/>
    <w:rsid w:val="12531AE4"/>
    <w:rsid w:val="13381AF6"/>
    <w:rsid w:val="13C70769"/>
    <w:rsid w:val="16B25156"/>
    <w:rsid w:val="193B776B"/>
    <w:rsid w:val="1AA11864"/>
    <w:rsid w:val="1BF55FC2"/>
    <w:rsid w:val="1C7B1D34"/>
    <w:rsid w:val="1DA358F3"/>
    <w:rsid w:val="1F3966E1"/>
    <w:rsid w:val="1FAE38D2"/>
    <w:rsid w:val="203A1732"/>
    <w:rsid w:val="20C96BD2"/>
    <w:rsid w:val="216C3F77"/>
    <w:rsid w:val="21FB6B25"/>
    <w:rsid w:val="22824908"/>
    <w:rsid w:val="238C2586"/>
    <w:rsid w:val="23A52DC4"/>
    <w:rsid w:val="242E2DC2"/>
    <w:rsid w:val="259119B5"/>
    <w:rsid w:val="26084890"/>
    <w:rsid w:val="26D92F20"/>
    <w:rsid w:val="27934C2A"/>
    <w:rsid w:val="2AD5553A"/>
    <w:rsid w:val="2B1207D0"/>
    <w:rsid w:val="2D076C5E"/>
    <w:rsid w:val="2D7271E7"/>
    <w:rsid w:val="2DDC1577"/>
    <w:rsid w:val="2EDB61B5"/>
    <w:rsid w:val="2EDC007A"/>
    <w:rsid w:val="2F96238D"/>
    <w:rsid w:val="2FE362F1"/>
    <w:rsid w:val="31374B2D"/>
    <w:rsid w:val="32E45BE2"/>
    <w:rsid w:val="334131D9"/>
    <w:rsid w:val="33DF233A"/>
    <w:rsid w:val="34B357DC"/>
    <w:rsid w:val="399D0846"/>
    <w:rsid w:val="3B742225"/>
    <w:rsid w:val="3BAC7F61"/>
    <w:rsid w:val="3BBE2F36"/>
    <w:rsid w:val="3BE6634F"/>
    <w:rsid w:val="3CF6044A"/>
    <w:rsid w:val="3DA54918"/>
    <w:rsid w:val="3ECB7129"/>
    <w:rsid w:val="3F23683F"/>
    <w:rsid w:val="3F562B7B"/>
    <w:rsid w:val="426B4915"/>
    <w:rsid w:val="42A32BF0"/>
    <w:rsid w:val="4303265A"/>
    <w:rsid w:val="44E24DB2"/>
    <w:rsid w:val="47CE55FD"/>
    <w:rsid w:val="47F165C0"/>
    <w:rsid w:val="4BFF3135"/>
    <w:rsid w:val="4CBE1552"/>
    <w:rsid w:val="4EAD364F"/>
    <w:rsid w:val="4FE52909"/>
    <w:rsid w:val="51707B49"/>
    <w:rsid w:val="52617AC7"/>
    <w:rsid w:val="52F13539"/>
    <w:rsid w:val="53A44F87"/>
    <w:rsid w:val="53C02D4F"/>
    <w:rsid w:val="55C44F29"/>
    <w:rsid w:val="56F9630B"/>
    <w:rsid w:val="59231930"/>
    <w:rsid w:val="5935604A"/>
    <w:rsid w:val="59A71CFB"/>
    <w:rsid w:val="5ABE0DE6"/>
    <w:rsid w:val="5B0E22CB"/>
    <w:rsid w:val="5B751328"/>
    <w:rsid w:val="5C542D77"/>
    <w:rsid w:val="5EA913D7"/>
    <w:rsid w:val="5EFC1783"/>
    <w:rsid w:val="60A6654F"/>
    <w:rsid w:val="6227244A"/>
    <w:rsid w:val="62AF25C3"/>
    <w:rsid w:val="62C80273"/>
    <w:rsid w:val="68A33FC6"/>
    <w:rsid w:val="6B3A400E"/>
    <w:rsid w:val="6C254F4F"/>
    <w:rsid w:val="6CEE0118"/>
    <w:rsid w:val="6D5E599A"/>
    <w:rsid w:val="6F607C48"/>
    <w:rsid w:val="6FA778F7"/>
    <w:rsid w:val="72332E03"/>
    <w:rsid w:val="727B3F82"/>
    <w:rsid w:val="73D509E3"/>
    <w:rsid w:val="754D1572"/>
    <w:rsid w:val="758A7538"/>
    <w:rsid w:val="758C3DF8"/>
    <w:rsid w:val="76215392"/>
    <w:rsid w:val="7A073D9D"/>
    <w:rsid w:val="7BA67BFD"/>
    <w:rsid w:val="7CDD7B32"/>
    <w:rsid w:val="7F54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autoRedefine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eading1"/>
    <w:basedOn w:val="1"/>
    <w:autoRedefine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9">
    <w:name w:val="NormalCharacter"/>
    <w:autoRedefine/>
    <w:semiHidden/>
    <w:qFormat/>
    <w:uiPriority w:val="0"/>
  </w:style>
  <w:style w:type="table" w:customStyle="1" w:styleId="10">
    <w:name w:val="TableNormal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PageNumber"/>
    <w:basedOn w:val="9"/>
    <w:autoRedefine/>
    <w:qFormat/>
    <w:uiPriority w:val="0"/>
  </w:style>
  <w:style w:type="character" w:customStyle="1" w:styleId="12">
    <w:name w:val="UserStyle_0"/>
    <w:link w:val="13"/>
    <w:autoRedefine/>
    <w:qFormat/>
    <w:uiPriority w:val="0"/>
    <w:rPr>
      <w:rFonts w:ascii="宋体"/>
      <w:kern w:val="2"/>
      <w:sz w:val="18"/>
      <w:szCs w:val="18"/>
    </w:rPr>
  </w:style>
  <w:style w:type="paragraph" w:customStyle="1" w:styleId="13">
    <w:name w:val="NavPane"/>
    <w:basedOn w:val="1"/>
    <w:link w:val="12"/>
    <w:autoRedefine/>
    <w:qFormat/>
    <w:uiPriority w:val="0"/>
    <w:rPr>
      <w:rFonts w:ascii="宋体"/>
      <w:sz w:val="18"/>
      <w:szCs w:val="18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337</Characters>
  <Lines>5</Lines>
  <Paragraphs>1</Paragraphs>
  <TotalTime>0</TotalTime>
  <ScaleCrop>false</ScaleCrop>
  <LinksUpToDate>false</LinksUpToDate>
  <CharactersWithSpaces>338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2023-03-09T06:55:00Z</dcterms:created>
  <dc:creator>Administrator</dc:creator>
  <cp:lastModifiedBy>就喝奶茶</cp:lastModifiedBy>
  <dcterms:modified xsi:type="dcterms:W3CDTF">2024-03-20T00:12:38Z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C6753F0D0C8143199CB93F3CFB6FD64D_13</vt:lpwstr>
  </property>
</Properties>
</file>